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9.0 -->
  <w:body>
    <w:p w:rsidR="000511BB" w14:paraId="29C04726" w14:textId="77777777">
      <w:pPr>
        <w:widowControl w:val="0"/>
        <w:jc w:val="center"/>
        <w:rPr>
          <w:rFonts w:eastAsia="Calibri"/>
          <w:b/>
          <w:bCs/>
          <w:sz w:val="22"/>
          <w:szCs w:val="22"/>
          <w:lang w:eastAsia="en-US"/>
        </w:rPr>
      </w:pPr>
      <w:bookmarkStart w:id="0" w:name="_GoBack"/>
      <w:bookmarkEnd w:id="0"/>
      <w:r>
        <w:rPr>
          <w:b/>
          <w:bCs/>
          <w:sz w:val="22"/>
          <w:szCs w:val="22"/>
        </w:rPr>
        <w:t>Сообщение</w:t>
      </w:r>
    </w:p>
    <w:p w:rsidR="000511BB" w14:paraId="50764C27" w14:textId="77777777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 проведении годового заседания Общего собрания акционеров </w:t>
      </w:r>
    </w:p>
    <w:p w:rsidR="000511BB" w14:paraId="65545BB8" w14:textId="77777777">
      <w:pPr>
        <w:widowControl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Акционерного общества «Сибирско-Уральская энергетическая компания»</w:t>
      </w:r>
    </w:p>
    <w:p w:rsidR="000511BB" w14:paraId="704F7CBB" w14:textId="77777777">
      <w:pPr>
        <w:widowControl w:val="0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0511BB" w14:paraId="3470F870" w14:textId="77777777">
      <w:pPr>
        <w:widowControl w:val="0"/>
        <w:ind w:firstLine="709"/>
        <w:jc w:val="both"/>
        <w:rPr>
          <w:rFonts w:eastAsia="Calibri"/>
          <w:bCs/>
          <w:sz w:val="22"/>
          <w:szCs w:val="22"/>
          <w:highlight w:val="white"/>
          <w:lang w:eastAsia="en-US"/>
        </w:rPr>
      </w:pPr>
      <w:r>
        <w:rPr>
          <w:bCs/>
          <w:sz w:val="22"/>
          <w:szCs w:val="22"/>
          <w:highlight w:val="white"/>
        </w:rPr>
        <w:t xml:space="preserve">Акционерное общество «Сибирско-Уральская энергетическая компания» </w:t>
      </w:r>
      <w:r>
        <w:rPr>
          <w:bCs/>
          <w:sz w:val="22"/>
          <w:szCs w:val="22"/>
          <w:highlight w:val="white"/>
        </w:rPr>
        <w:br/>
        <w:t xml:space="preserve">(далее – АО «СУЭНКО», место нахождения: Тюменская обл., г. Тюмень, ул. Одесская, </w:t>
      </w:r>
      <w:r>
        <w:rPr>
          <w:bCs/>
          <w:sz w:val="22"/>
          <w:szCs w:val="22"/>
          <w:highlight w:val="white"/>
        </w:rPr>
        <w:br/>
        <w:t>д. 27, ОГРН 1027201233620, ИНН 7205011944) настоящим сообщает о проведении годового заседания Общего собрания акционеров АО «СУЭНКО», голосование на котором совмещается с заочным голосованием (далее - годовое заседание Общего собрания акционеров АО «СУЭНКО»).</w:t>
      </w:r>
    </w:p>
    <w:p w:rsidR="000511BB" w14:paraId="6CF7A6BE" w14:textId="77777777">
      <w:pPr>
        <w:widowControl w:val="0"/>
        <w:ind w:firstLine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Способ принятия решений Общим собранием акционеров АО «СУЭНКО»: </w:t>
      </w:r>
      <w:r>
        <w:rPr>
          <w:sz w:val="22"/>
          <w:szCs w:val="22"/>
        </w:rPr>
        <w:t>заседание, голосование на котором совмещается с заочным голосованием.</w:t>
      </w:r>
    </w:p>
    <w:p w:rsidR="000511BB" w14:paraId="73C4C0DB" w14:textId="54FCBBA0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Годовое заседание Общего собрания акционеров АО «СУЭНКО» проводится без возможности дистанционного участия в нем.</w:t>
      </w:r>
    </w:p>
    <w:p w:rsidR="000511BB" w14:paraId="5E2778E2" w14:textId="77777777">
      <w:pPr>
        <w:widowControl w:val="0"/>
        <w:ind w:firstLine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Дата и время проведения годового заседания Общего собрания акционеров АО «СУЭНКО»:</w:t>
      </w:r>
      <w:r>
        <w:rPr>
          <w:sz w:val="22"/>
          <w:szCs w:val="22"/>
        </w:rPr>
        <w:t xml:space="preserve"> 30 июня 2026 года, 15 часов 00 минут по местному времени.</w:t>
      </w:r>
    </w:p>
    <w:p w:rsidR="000511BB" w14:paraId="2B556286" w14:textId="77777777">
      <w:pPr>
        <w:widowControl w:val="0"/>
        <w:ind w:firstLine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Время начала регистрации лиц, участвующих в годовом заседании Общего собрания акционеров АО «СУЭНКО»</w:t>
      </w:r>
      <w:r>
        <w:rPr>
          <w:sz w:val="22"/>
          <w:szCs w:val="22"/>
        </w:rPr>
        <w:t>: 14 часов 45 минут по местному времени.</w:t>
      </w:r>
    </w:p>
    <w:p w:rsidR="000511BB" w14:paraId="05B18227" w14:textId="77777777">
      <w:pPr>
        <w:widowControl w:val="0"/>
        <w:ind w:firstLine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Дата окончания приема бюллетеней для голосования при заочном голосовании</w:t>
      </w:r>
      <w:r>
        <w:rPr>
          <w:sz w:val="22"/>
          <w:szCs w:val="22"/>
        </w:rPr>
        <w:t>: 27 июня 2026 года.</w:t>
      </w:r>
    </w:p>
    <w:p w:rsidR="000511BB" w14:paraId="05DAD2FC" w14:textId="77777777">
      <w:pPr>
        <w:widowControl w:val="0"/>
        <w:ind w:firstLine="709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 проведения годового заседания Общего собрания акционеров </w:t>
      </w:r>
      <w:r>
        <w:rPr>
          <w:b/>
          <w:bCs/>
          <w:sz w:val="22"/>
          <w:szCs w:val="22"/>
        </w:rPr>
        <w:br/>
        <w:t>АО «СУЭНКО»</w:t>
      </w:r>
      <w:r>
        <w:rPr>
          <w:sz w:val="22"/>
          <w:szCs w:val="22"/>
        </w:rPr>
        <w:t xml:space="preserve">: </w:t>
      </w:r>
      <w:r>
        <w:rPr>
          <w:bCs/>
          <w:sz w:val="22"/>
          <w:szCs w:val="22"/>
          <w:highlight w:val="white"/>
        </w:rPr>
        <w:t>Тюменская область, г. Тюмень, ул. Одесская, д. 27, АО «СУЭНКО».</w:t>
      </w:r>
    </w:p>
    <w:p w:rsidR="000511BB" w14:paraId="36DCC598" w14:textId="77777777">
      <w:pPr>
        <w:widowControl w:val="0"/>
        <w:ind w:firstLine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Дата, на которую определяются (фиксируются) лица, имеющие право голоса при принятии решений Общим собранием акционеров АО «СУЭНКО» на годовом заседании Общего собрания акционеров АО «СУЭНКО»</w:t>
      </w:r>
      <w:r>
        <w:rPr>
          <w:sz w:val="22"/>
          <w:szCs w:val="22"/>
        </w:rPr>
        <w:t>: 07 июня 2026 года.</w:t>
      </w:r>
    </w:p>
    <w:p w:rsidR="000511BB" w14:paraId="4E952CF6" w14:textId="77777777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 xml:space="preserve">Категории (типы) акций, владельцы которых имеют право голоса по всем вопросам повестки дня годового заседания Общего собрания акционеров АО «СУЭНКО»: </w:t>
      </w:r>
      <w:r>
        <w:rPr>
          <w:sz w:val="22"/>
          <w:szCs w:val="22"/>
        </w:rPr>
        <w:t>обыкновенные акции.</w:t>
      </w:r>
    </w:p>
    <w:p w:rsidR="000511BB" w14:paraId="4BEAC3EA" w14:textId="77777777">
      <w:pPr>
        <w:widowControl w:val="0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Почтовые адреса, по которым могут направляться заполненные бюллетени для голосования:</w:t>
      </w:r>
    </w:p>
    <w:p w:rsidR="000511BB" w14:paraId="086ACD17" w14:textId="77777777">
      <w:pPr>
        <w:widowControl w:val="0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– 625023, Тюменская область, г. Тюмень, ул. Одесская, д. 27, АО «СУЭНКО»;</w:t>
      </w:r>
    </w:p>
    <w:p w:rsidR="000511BB" w14:paraId="044AA01C" w14:textId="77777777">
      <w:pPr>
        <w:widowControl w:val="0"/>
        <w:ind w:firstLine="709"/>
        <w:jc w:val="both"/>
        <w:rPr>
          <w:rFonts w:eastAsia="Calibri"/>
          <w:b/>
          <w:bCs/>
          <w:sz w:val="22"/>
          <w:szCs w:val="22"/>
          <w:lang w:eastAsia="en-US"/>
        </w:rPr>
      </w:pPr>
      <w:r>
        <w:rPr>
          <w:bCs/>
          <w:sz w:val="22"/>
          <w:szCs w:val="22"/>
        </w:rPr>
        <w:t xml:space="preserve">– 109052, г. Москва, ул. </w:t>
      </w:r>
      <w:r>
        <w:rPr>
          <w:bCs/>
          <w:sz w:val="22"/>
          <w:szCs w:val="22"/>
        </w:rPr>
        <w:t>Новохохловская</w:t>
      </w:r>
      <w:r>
        <w:rPr>
          <w:bCs/>
          <w:sz w:val="22"/>
          <w:szCs w:val="22"/>
        </w:rPr>
        <w:t xml:space="preserve">, д. 23, стр. 1, </w:t>
      </w:r>
      <w:r>
        <w:rPr>
          <w:bCs/>
          <w:sz w:val="22"/>
          <w:szCs w:val="22"/>
        </w:rPr>
        <w:t>помещ</w:t>
      </w:r>
      <w:r>
        <w:rPr>
          <w:bCs/>
          <w:sz w:val="22"/>
          <w:szCs w:val="22"/>
        </w:rPr>
        <w:t>. 1, АО «СТАТУС».</w:t>
      </w:r>
    </w:p>
    <w:p w:rsidR="000511BB" w14:paraId="3DED00DA" w14:textId="77777777">
      <w:pPr>
        <w:tabs>
          <w:tab w:val="left" w:pos="7920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Способы подписания бюллетеней для голосования:</w:t>
      </w:r>
      <w:r>
        <w:rPr>
          <w:sz w:val="22"/>
          <w:szCs w:val="22"/>
        </w:rPr>
        <w:t xml:space="preserve"> бюллетень для голосования (в бумажной форме) подписывается лицом, имеющим право голоса при принятии решений Общим собранием акционеров АО «СУЭНКО», или его представителем собственноручной подписью.</w:t>
      </w:r>
    </w:p>
    <w:p w:rsidR="000511BB" w14:paraId="48468B41" w14:textId="77777777">
      <w:pPr>
        <w:tabs>
          <w:tab w:val="left" w:pos="7920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Годовое заседание Общего собрания акционеров АО «СУЭНКО» проводится без возможности заполнения и направления бюллетеней для голосования по вопросам повестки дня годового заседания Общего собрания акционеров АО «СУЭНКО» в электронной форме с использованием электронных либо иных технических средств.</w:t>
      </w:r>
    </w:p>
    <w:p w:rsidR="000511BB" w14:paraId="55591135" w14:textId="77777777">
      <w:pPr>
        <w:ind w:firstLine="720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Принявшими участие в годовом заседании Общего собрания акционеров АО «СУЭНКО» считаются:</w:t>
      </w:r>
    </w:p>
    <w:p w:rsidR="000511BB" w14:paraId="54F5FADD" w14:textId="77777777">
      <w:pPr>
        <w:ind w:firstLine="720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акционеры, зарегистрировавшиеся для участия в нем; </w:t>
      </w:r>
    </w:p>
    <w:p w:rsidR="000511BB" w14:paraId="7BA5DD9A" w14:textId="77777777">
      <w:pPr>
        <w:ind w:firstLine="720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акционеры, бюллетени которых получены АО «СУЭНКО» не позднее 27 июня 2026 года;</w:t>
      </w:r>
    </w:p>
    <w:p w:rsidR="000511BB" w14:paraId="25335DAD" w14:textId="77777777">
      <w:pPr>
        <w:ind w:firstLine="720"/>
        <w:contextualSpacing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- акционеры, которые в соответствии с правилами законодательства Российской Федерации о ценных бумагах дали лицам, осуществляющим учет их прав на акции, указания (инструкции) о голосовании, если сообщения об их волеизъявлении получены не позднее 27 июня 2026 года.</w:t>
      </w:r>
    </w:p>
    <w:p w:rsidR="000511BB" w14:paraId="3E9D6BB9" w14:textId="77777777">
      <w:pPr>
        <w:widowControl w:val="0"/>
        <w:jc w:val="center"/>
        <w:rPr>
          <w:b/>
          <w:bCs/>
          <w:sz w:val="22"/>
          <w:szCs w:val="22"/>
        </w:rPr>
      </w:pPr>
    </w:p>
    <w:p w:rsidR="000511BB" w14:paraId="383A62B0" w14:textId="77777777">
      <w:pPr>
        <w:widowControl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Повестка дня:</w:t>
      </w:r>
    </w:p>
    <w:p w:rsidR="000511BB" w14:paraId="32E8C28B" w14:textId="77777777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Утверждение годового отчета Общества.</w:t>
      </w:r>
    </w:p>
    <w:p w:rsidR="000511BB" w14:paraId="267C28B6" w14:textId="77777777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Утверждение годовой бухгалтерской (финансовой) отчетности Общества.</w:t>
      </w:r>
    </w:p>
    <w:p w:rsidR="000511BB" w14:paraId="04329C45" w14:textId="77777777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Утверждение распределения прибыли Общества по результатам 2025 года.</w:t>
      </w:r>
    </w:p>
    <w:p w:rsidR="000511BB" w14:paraId="24A1C7DA" w14:textId="77777777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О размере дивидендов, сроках и форме их выплаты по итогам работы за 2025 год и установлении даты, на которую определяются лица, имеющие право на получение дивидендов.</w:t>
      </w:r>
    </w:p>
    <w:p w:rsidR="000511BB" w14:paraId="6D7CC64B" w14:textId="77777777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О выплате вознаграждения за работу в составе совета директоров членам совета директоров – негосударственным служащим в размере, установленном внутренними документами Общества.</w:t>
      </w:r>
    </w:p>
    <w:p w:rsidR="000511BB" w14:paraId="66D00BC0" w14:textId="77777777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О выплате вознаграждения за работу в составе ревизионной комиссии членам ревизионной комиссии – негосударственным служащим в размере, установленном внутренними документами Общества.</w:t>
      </w:r>
    </w:p>
    <w:p w:rsidR="000511BB" w14:paraId="565FC327" w14:textId="77777777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 Избрание членов совета директоров Общества.</w:t>
      </w:r>
    </w:p>
    <w:p w:rsidR="000511BB" w14:paraId="32CE996B" w14:textId="77777777">
      <w:pPr>
        <w:ind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Избрание членов ревизионной комиссии Общества.</w:t>
      </w:r>
    </w:p>
    <w:p w:rsidR="000511BB" w14:paraId="3AE06714" w14:textId="77777777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Назначение аудиторской организации Общества.</w:t>
      </w:r>
    </w:p>
    <w:p w:rsidR="000511BB" w:rsidP="009100FB" w14:paraId="2405805E" w14:textId="486D20D8">
      <w:pPr>
        <w:ind w:firstLine="709"/>
        <w:jc w:val="both"/>
      </w:pPr>
      <w:r>
        <w:rPr>
          <w:color w:val="000000"/>
          <w:sz w:val="22"/>
          <w:szCs w:val="22"/>
        </w:rPr>
        <w:t>10. Об утверждении Положения о выплате членам Совета директоров Общества вознаграждений и компенсаций.</w:t>
      </w:r>
    </w:p>
    <w:p w:rsidR="000511BB" w14:paraId="021A6B45" w14:textId="77777777">
      <w:pPr>
        <w:tabs>
          <w:tab w:val="left" w:pos="1134"/>
        </w:tabs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С информацией, предоставляемой при подготовке к проведению годового заседания Общего собрания акционеров </w:t>
      </w:r>
      <w:r>
        <w:rPr>
          <w:rFonts w:eastAsia="Calibri"/>
          <w:bCs/>
          <w:sz w:val="22"/>
          <w:szCs w:val="22"/>
          <w:lang w:eastAsia="en-US"/>
        </w:rPr>
        <w:t>АО «СУЭНКО»</w:t>
      </w:r>
      <w:r>
        <w:rPr>
          <w:sz w:val="22"/>
          <w:szCs w:val="22"/>
        </w:rPr>
        <w:t xml:space="preserve">, лица, имеющие право голоса при принятии решений Общим собранием акционеров </w:t>
      </w:r>
      <w:r>
        <w:rPr>
          <w:rFonts w:eastAsia="Calibri"/>
          <w:bCs/>
          <w:sz w:val="22"/>
          <w:szCs w:val="22"/>
          <w:lang w:eastAsia="en-US"/>
        </w:rPr>
        <w:t>АО «СУЭНКО»</w:t>
      </w:r>
      <w:r>
        <w:rPr>
          <w:sz w:val="22"/>
          <w:szCs w:val="22"/>
        </w:rPr>
        <w:t xml:space="preserve">, 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могут ознакомиться в период с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09 июня 2026 года</w:t>
      </w:r>
      <w:r>
        <w:rPr>
          <w:sz w:val="22"/>
          <w:szCs w:val="22"/>
        </w:rPr>
        <w:t xml:space="preserve"> по </w:t>
      </w:r>
      <w:r>
        <w:rPr>
          <w:b/>
          <w:sz w:val="22"/>
          <w:szCs w:val="22"/>
        </w:rPr>
        <w:t>29 июня 2026 года</w:t>
      </w:r>
      <w:r>
        <w:rPr>
          <w:sz w:val="22"/>
          <w:szCs w:val="22"/>
        </w:rPr>
        <w:t xml:space="preserve">, за исключением выходных и праздничных дней, с 10 часов 00 минут до 17 часов 00 минут по следующему адресу: </w:t>
      </w:r>
      <w:r>
        <w:rPr>
          <w:b/>
          <w:bCs/>
          <w:sz w:val="22"/>
          <w:szCs w:val="22"/>
        </w:rPr>
        <w:t>г. Тюмень, ул. Одесская, д. 27, АО «СУЭНКО»</w:t>
      </w:r>
      <w:r>
        <w:rPr>
          <w:sz w:val="22"/>
          <w:szCs w:val="22"/>
        </w:rPr>
        <w:t xml:space="preserve">, а также </w:t>
      </w:r>
      <w:r>
        <w:rPr>
          <w:b/>
          <w:bCs/>
          <w:sz w:val="22"/>
          <w:szCs w:val="22"/>
        </w:rPr>
        <w:t>30 июня 2026 года</w:t>
      </w:r>
      <w:r>
        <w:rPr>
          <w:sz w:val="22"/>
          <w:szCs w:val="22"/>
        </w:rPr>
        <w:t xml:space="preserve"> во время </w:t>
      </w:r>
      <w:r>
        <w:rPr>
          <w:color w:val="000000"/>
          <w:sz w:val="22"/>
          <w:szCs w:val="22"/>
        </w:rPr>
        <w:t xml:space="preserve">проведения годового заседания Общего собрания акционеров АО «СУЭНКО» по адресу: </w:t>
      </w:r>
      <w:r>
        <w:rPr>
          <w:b/>
          <w:color w:val="000000"/>
          <w:sz w:val="22"/>
          <w:szCs w:val="22"/>
        </w:rPr>
        <w:t>г. Тюмень, ул. Одесская, д. 27, АО «СУЭНКО»</w:t>
      </w:r>
      <w:r>
        <w:rPr>
          <w:color w:val="000000"/>
          <w:sz w:val="22"/>
          <w:szCs w:val="22"/>
        </w:rPr>
        <w:t>.</w:t>
      </w:r>
    </w:p>
    <w:p w:rsidR="000511BB" w14:paraId="4A91F6BB" w14:textId="77777777">
      <w:pPr>
        <w:tabs>
          <w:tab w:val="left" w:pos="316"/>
        </w:tabs>
        <w:jc w:val="both"/>
        <w:rPr>
          <w:rFonts w:eastAsia="Calibri"/>
          <w:bCs/>
          <w:color w:val="000000"/>
          <w:lang w:eastAsia="en-US"/>
        </w:rPr>
      </w:pPr>
    </w:p>
    <w:p w:rsidR="000511BB" w14:paraId="5CB33468" w14:textId="77777777">
      <w:pPr>
        <w:tabs>
          <w:tab w:val="left" w:pos="7920"/>
        </w:tabs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</w:rPr>
        <w:t xml:space="preserve">В случае если зарегистрированным в реестре акционеров </w:t>
      </w:r>
      <w:r>
        <w:rPr>
          <w:rFonts w:eastAsia="Calibri"/>
          <w:bCs/>
          <w:sz w:val="22"/>
          <w:lang w:eastAsia="en-US"/>
        </w:rPr>
        <w:t xml:space="preserve">АО «СУЭНКО» </w:t>
      </w:r>
      <w:r>
        <w:rPr>
          <w:sz w:val="22"/>
        </w:rPr>
        <w:t xml:space="preserve">лицом является номинальный держатель акций, указанная информация (материалы) предоставляется в соответствии </w:t>
      </w:r>
      <w:r>
        <w:rPr>
          <w:sz w:val="22"/>
          <w:szCs w:val="22"/>
        </w:rPr>
        <w:t>с правилами законодательства Российской Федерации о ценных бумагах для предоставления информации (материалов) лицам, осуществляющим права по ценным бумагам.</w:t>
      </w:r>
    </w:p>
    <w:p w:rsidR="000511BB" w14:paraId="61EE6DC5" w14:textId="77777777">
      <w:pPr>
        <w:tabs>
          <w:tab w:val="left" w:pos="7920"/>
        </w:tabs>
        <w:ind w:firstLine="709"/>
        <w:contextualSpacing/>
        <w:jc w:val="both"/>
        <w:rPr>
          <w:rFonts w:eastAsia="Calibri"/>
          <w:sz w:val="22"/>
          <w:szCs w:val="22"/>
          <w:highlight w:val="white"/>
          <w:lang w:eastAsia="en-US"/>
        </w:rPr>
      </w:pPr>
    </w:p>
    <w:p w:rsidR="000511BB" w14:paraId="12F5FF4D" w14:textId="77777777">
      <w:pPr>
        <w:widowControl w:val="0"/>
        <w:jc w:val="center"/>
        <w:rPr>
          <w:rFonts w:eastAsia="Calibri"/>
          <w:b/>
          <w:bCs/>
          <w:sz w:val="22"/>
          <w:szCs w:val="22"/>
          <w:highlight w:val="white"/>
          <w:u w:val="single"/>
          <w:lang w:eastAsia="en-US"/>
        </w:rPr>
      </w:pPr>
      <w:r>
        <w:rPr>
          <w:b/>
          <w:bCs/>
          <w:sz w:val="22"/>
          <w:szCs w:val="22"/>
          <w:highlight w:val="white"/>
          <w:u w:val="single"/>
        </w:rPr>
        <w:t>ПОРЯДОК ОБНОВЛЕНИЯ АКЦИОНЕРАМИ ОБЩЕСТВА ПЕРСОНАЛЬНЫХ ДАННЫХ</w:t>
      </w:r>
    </w:p>
    <w:p w:rsidR="000511BB" w14:paraId="024FF38F" w14:textId="77777777">
      <w:pPr>
        <w:widowControl w:val="0"/>
        <w:jc w:val="center"/>
        <w:rPr>
          <w:rFonts w:eastAsia="Calibri"/>
          <w:b/>
          <w:bCs/>
          <w:sz w:val="22"/>
          <w:szCs w:val="22"/>
          <w:highlight w:val="white"/>
          <w:u w:val="single"/>
          <w:lang w:eastAsia="en-US"/>
        </w:rPr>
      </w:pPr>
    </w:p>
    <w:p w:rsidR="000511BB" w14:paraId="503F6C78" w14:textId="77777777">
      <w:pPr>
        <w:widowControl w:val="0"/>
        <w:ind w:firstLine="709"/>
        <w:jc w:val="both"/>
        <w:rPr>
          <w:rFonts w:eastAsia="Calibri"/>
          <w:bCs/>
          <w:sz w:val="22"/>
          <w:szCs w:val="22"/>
          <w:highlight w:val="white"/>
          <w:lang w:eastAsia="en-US"/>
        </w:rPr>
      </w:pPr>
      <w:r>
        <w:rPr>
          <w:bCs/>
          <w:sz w:val="22"/>
          <w:szCs w:val="22"/>
          <w:highlight w:val="white"/>
        </w:rPr>
        <w:t xml:space="preserve">В случае изменения данных акционера </w:t>
      </w:r>
      <w:r>
        <w:rPr>
          <w:rFonts w:eastAsia="Calibri"/>
          <w:bCs/>
          <w:sz w:val="22"/>
          <w:szCs w:val="22"/>
          <w:highlight w:val="white"/>
          <w:lang w:eastAsia="en-US"/>
        </w:rPr>
        <w:t>АО «СУЭНКО»</w:t>
      </w:r>
      <w:r>
        <w:rPr>
          <w:bCs/>
          <w:sz w:val="22"/>
          <w:szCs w:val="22"/>
          <w:highlight w:val="white"/>
        </w:rPr>
        <w:t xml:space="preserve">, зарегистрированного в реестре акционеров </w:t>
      </w:r>
      <w:r>
        <w:rPr>
          <w:rFonts w:eastAsia="Calibri"/>
          <w:bCs/>
          <w:sz w:val="22"/>
          <w:szCs w:val="22"/>
          <w:highlight w:val="white"/>
          <w:lang w:eastAsia="en-US"/>
        </w:rPr>
        <w:t xml:space="preserve">АО «СУЭНКО» </w:t>
      </w:r>
      <w:r>
        <w:rPr>
          <w:bCs/>
          <w:sz w:val="22"/>
          <w:szCs w:val="22"/>
          <w:highlight w:val="white"/>
        </w:rPr>
        <w:t xml:space="preserve">(в том числе адресных данных и данных о банковских реквизитах), такому акционеру необходимо предоставить Регистратору </w:t>
      </w:r>
      <w:r>
        <w:rPr>
          <w:rFonts w:eastAsia="Calibri"/>
          <w:bCs/>
          <w:sz w:val="22"/>
          <w:szCs w:val="22"/>
          <w:highlight w:val="white"/>
          <w:lang w:eastAsia="en-US"/>
        </w:rPr>
        <w:t xml:space="preserve">АО «СУЭНКО» - 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Акционерному обществу «Регистраторское общество «СТАТУС» (ОГРН 1027700003924) </w:t>
      </w:r>
      <w:r>
        <w:rPr>
          <w:bCs/>
          <w:sz w:val="22"/>
          <w:szCs w:val="22"/>
          <w:highlight w:val="white"/>
        </w:rPr>
        <w:t>информацию об изменении своих данных в установленном порядке.</w:t>
      </w:r>
    </w:p>
    <w:p w:rsidR="000511BB" w14:paraId="2C31284A" w14:textId="77777777">
      <w:pPr>
        <w:widowControl w:val="0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bCs/>
          <w:sz w:val="22"/>
          <w:szCs w:val="22"/>
        </w:rPr>
        <w:t xml:space="preserve">                                                                    </w:t>
      </w:r>
    </w:p>
    <w:p w:rsidR="000511BB" w14:paraId="74E3708D" w14:textId="77777777">
      <w:pPr>
        <w:widowControl w:val="0"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</w:p>
    <w:p w:rsidR="000511BB" w14:paraId="5461D0F9" w14:textId="77777777">
      <w:r>
        <w:rPr>
          <w:bCs/>
          <w:sz w:val="22"/>
          <w:szCs w:val="22"/>
        </w:rPr>
        <w:t xml:space="preserve">           Совет директоров АО «СУЭНКО»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1BB"/>
    <w:rsid w:val="000511BB"/>
    <w:rsid w:val="003C25CD"/>
    <w:rsid w:val="006B1B0A"/>
    <w:rsid w:val="009100FB"/>
    <w:rsid w:val="00BA2DB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E02A0C-B56A-4637-B72E-7D12BA33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">
    <w:name w:val="Заголовок Знак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a0"/>
    <w:uiPriority w:val="11"/>
    <w:qFormat/>
    <w:pPr>
      <w:spacing w:before="200" w:after="200"/>
    </w:pPr>
  </w:style>
  <w:style w:type="character" w:customStyle="1" w:styleId="a0">
    <w:name w:val="Подзаголовок Знак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a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1">
    <w:name w:val="Выделенная цитата Знак"/>
    <w:link w:val="IntenseQuote"/>
    <w:uiPriority w:val="30"/>
    <w:rPr>
      <w:i/>
    </w:rPr>
  </w:style>
  <w:style w:type="paragraph" w:styleId="Header">
    <w:name w:val="header"/>
    <w:basedOn w:val="Normal"/>
    <w:link w:val="a2"/>
    <w:uiPriority w:val="99"/>
    <w:unhideWhenUsed/>
    <w:pPr>
      <w:tabs>
        <w:tab w:val="center" w:pos="7143"/>
        <w:tab w:val="right" w:pos="14287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a3"/>
    <w:uiPriority w:val="99"/>
    <w:unhideWhenUsed/>
    <w:pPr>
      <w:tabs>
        <w:tab w:val="center" w:pos="7143"/>
        <w:tab w:val="right" w:pos="14287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paragraph" w:styleId="Caption">
    <w:name w:val="caption"/>
    <w:basedOn w:val="Normal"/>
    <w:next w:val="Normal"/>
    <w:link w:val="a4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4">
    <w:name w:val="Название объекта Знак"/>
    <w:basedOn w:val="DefaultParagraphFont"/>
    <w:link w:val="Caption"/>
    <w:uiPriority w:val="35"/>
    <w:rPr>
      <w:b/>
      <w:bCs/>
      <w:color w:val="4472C4" w:themeColor="accent1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1Horz">
      <w:tblPr/>
      <w:tcPr>
        <w:shd w:val="clear" w:color="F2F2F2" w:fill="F2F2F2" w:themeColor="text1" w:themeTint="0D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Color="accent1" w:themeTint="3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Color="accent1" w:themeTint="34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Color="accent1" w:themeTint="3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Color="accent1" w:themeTint="34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Color="text1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fill="537DC8" w:themeColor="accent1" w:themeTint="E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 w:themeColor="accent1" w:themeTint="3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 w:themeColor="accent1" w:themeTint="32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Color="accent2" w:themeTint="97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Color="accent3" w:themeTint="FE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Color="accent4" w:themeTint="9A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Color="accent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Color="accent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Color="text1" w:themeTint="40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Color="text1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band1Vert">
      <w:tblPr/>
      <w:tcPr>
        <w:shd w:val="clear" w:color="8A8A8A" w:fill="8A8A8A" w:themeColor="text1" w:themeTint="75" w:themeFill="text1" w:themeFillTint="75"/>
      </w:tcPr>
    </w:tblStylePr>
    <w:tblStylePr w:type="band1Horz">
      <w:tblPr/>
      <w:tcPr>
        <w:shd w:val="clear" w:color="8A8A8A" w:fill="8A8A8A" w:themeColor="text1" w:themeTint="75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Color="accent1" w:themeTint="3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Color="accent1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Color="accent1" w:themeFill="accent1"/>
      </w:tcPr>
    </w:tblStylePr>
    <w:tblStylePr w:type="band1Vert">
      <w:tblPr/>
      <w:tcPr>
        <w:shd w:val="clear" w:color="A9BEE4" w:fill="A9BEE4" w:themeColor="accent1" w:themeTint="75" w:themeFill="accent1" w:themeFillTint="75"/>
      </w:tcPr>
    </w:tblStylePr>
    <w:tblStylePr w:type="band1Horz">
      <w:tblPr/>
      <w:tcPr>
        <w:shd w:val="clear" w:color="A9BEE4" w:fill="A9BEE4" w:themeColor="accent1" w:themeTint="75" w:themeFill="accen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Color="accent2" w:themeTint="32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Color="accent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Color="accent2" w:themeFill="accent2"/>
      </w:tcPr>
    </w:tblStylePr>
    <w:tblStylePr w:type="band1Vert">
      <w:tblPr/>
      <w:tcPr>
        <w:shd w:val="clear" w:color="F6C3A0" w:fill="F6C3A0" w:themeColor="accent2" w:themeTint="75" w:themeFill="accent2" w:themeFillTint="75"/>
      </w:tcPr>
    </w:tblStylePr>
    <w:tblStylePr w:type="band1Horz">
      <w:tblPr/>
      <w:tcPr>
        <w:shd w:val="clear" w:color="F6C3A0" w:fill="F6C3A0" w:themeColor="accent2" w:themeTint="75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Color="accent3" w:themeTint="34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Color="accent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Color="accent3" w:themeFill="accent3"/>
      </w:tcPr>
    </w:tblStylePr>
    <w:tblStylePr w:type="band1Vert">
      <w:tblPr/>
      <w:tcPr>
        <w:shd w:val="clear" w:color="D5D5D5" w:fill="D5D5D5" w:themeColor="accent3" w:themeTint="75" w:themeFill="accent3" w:themeFillTint="75"/>
      </w:tcPr>
    </w:tblStylePr>
    <w:tblStylePr w:type="band1Horz">
      <w:tblPr/>
      <w:tcPr>
        <w:shd w:val="clear" w:color="D5D5D5" w:fill="D5D5D5" w:themeColor="accent3" w:themeTint="7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Color="accent4" w:themeTint="34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Color="accent4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Color="accent4" w:themeFill="accent4"/>
      </w:tcPr>
    </w:tblStylePr>
    <w:tblStylePr w:type="band1Vert">
      <w:tblPr/>
      <w:tcPr>
        <w:shd w:val="clear" w:color="FFE28A" w:fill="FFE28A" w:themeColor="accent4" w:themeTint="75" w:themeFill="accent4" w:themeFillTint="75"/>
      </w:tcPr>
    </w:tblStylePr>
    <w:tblStylePr w:type="band1Horz">
      <w:tblPr/>
      <w:tcPr>
        <w:shd w:val="clear" w:color="FFE28A" w:fill="FFE28A" w:themeColor="accent4" w:themeTint="75" w:themeFill="accent4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Color="accent5" w:themeTint="34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Color="accent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Color="accent5" w:themeFill="accent5"/>
      </w:tcPr>
    </w:tblStylePr>
    <w:tblStylePr w:type="band1Vert">
      <w:tblPr/>
      <w:tcPr>
        <w:shd w:val="clear" w:color="B3D0EB" w:fill="B3D0EB" w:themeColor="accent5" w:themeTint="75" w:themeFill="accent5" w:themeFillTint="75"/>
      </w:tcPr>
    </w:tblStylePr>
    <w:tblStylePr w:type="band1Horz">
      <w:tblPr/>
      <w:tcPr>
        <w:shd w:val="clear" w:color="B3D0EB" w:fill="B3D0EB" w:themeColor="accent5" w:themeTint="75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Color="accent6" w:themeTint="34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Color="accent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Color="accent6" w:themeFill="accent6"/>
      </w:tcPr>
    </w:tblStylePr>
    <w:tblStylePr w:type="band1Vert">
      <w:tblPr/>
      <w:tcPr>
        <w:shd w:val="clear" w:color="BCDBA8" w:fill="BCDBA8" w:themeColor="accent6" w:themeTint="75" w:themeFill="accent6" w:themeFillTint="75"/>
      </w:tcPr>
    </w:tblStylePr>
    <w:tblStylePr w:type="band1Horz">
      <w:tblPr/>
      <w:tcPr>
        <w:shd w:val="clear" w:color="BCDBA8" w:fill="BCDBA8" w:themeColor="accent6" w:themeTint="75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Shade="95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Shade="95" w:themeTint="80"/>
      </w:rPr>
    </w:tblStylePr>
    <w:tblStylePr w:type="firstCol">
      <w:rPr>
        <w:b/>
        <w:color w:val="7F7F7F" w:themeColor="text1" w:themeShade="95" w:themeTint="80"/>
      </w:rPr>
    </w:tblStylePr>
    <w:tblStylePr w:type="lastCol">
      <w:rPr>
        <w:b/>
        <w:color w:val="7F7F7F" w:themeColor="text1" w:themeShade="95" w:themeTint="80"/>
      </w:rPr>
    </w:tblStylePr>
    <w:tblStylePr w:type="band1Vert"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Shade="95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Shade="95" w:themeTint="80"/>
      </w:rPr>
    </w:tblStylePr>
    <w:tblStylePr w:type="firstCol">
      <w:rPr>
        <w:b/>
        <w:color w:val="A0B7E1" w:themeColor="accent1" w:themeShade="95" w:themeTint="80"/>
      </w:rPr>
    </w:tblStylePr>
    <w:tblStylePr w:type="lastCol">
      <w:rPr>
        <w:b/>
        <w:color w:val="A0B7E1" w:themeColor="accent1" w:themeShade="95" w:themeTint="80"/>
      </w:rPr>
    </w:tblStylePr>
    <w:tblStylePr w:type="band1Vert">
      <w:tblPr/>
      <w:tcPr>
        <w:shd w:val="clear" w:color="D8E2F3" w:fill="D8E2F3" w:themeColor="accent1" w:themeTint="34" w:themeFill="accent1" w:themeFillTint="34"/>
      </w:tcPr>
    </w:tblStylePr>
    <w:tblStylePr w:type="band1Horz">
      <w:rPr>
        <w:rFonts w:ascii="Arial" w:hAnsi="Arial"/>
        <w:color w:val="A0B7E1" w:themeColor="accent1" w:themeShade="95" w:themeTint="80"/>
        <w:sz w:val="22"/>
      </w:rPr>
      <w:tblPr/>
      <w:tcPr>
        <w:shd w:val="clear" w:color="D8E2F3" w:fill="D8E2F3" w:themeColor="accent1" w:themeTint="34" w:themeFill="accent1" w:themeFillTint="34"/>
      </w:tcPr>
    </w:tblStylePr>
    <w:tblStylePr w:type="band2Horz">
      <w:rPr>
        <w:rFonts w:ascii="Arial" w:hAnsi="Arial"/>
        <w:color w:val="A0B7E1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Shade="95" w:themeTint="97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Shade="95" w:themeTint="97"/>
      </w:rPr>
    </w:tblStylePr>
    <w:tblStylePr w:type="firstCol">
      <w:rPr>
        <w:b/>
        <w:color w:val="F4B184" w:themeColor="accent2" w:themeShade="95" w:themeTint="97"/>
      </w:rPr>
    </w:tblStylePr>
    <w:tblStylePr w:type="lastCol">
      <w:rPr>
        <w:b/>
        <w:color w:val="F4B184" w:themeColor="accent2" w:themeShade="95" w:themeTint="97"/>
      </w:rPr>
    </w:tblStylePr>
    <w:tblStylePr w:type="band1Vert"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F4B184" w:themeColor="accent2" w:themeShade="95" w:themeTint="97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2Horz">
      <w:rPr>
        <w:rFonts w:ascii="Arial" w:hAnsi="Arial"/>
        <w:color w:val="F4B184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Shade="95" w:themeTint="FE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Shade="95" w:themeTint="FE"/>
      </w:rPr>
    </w:tblStylePr>
    <w:tblStylePr w:type="firstCol">
      <w:rPr>
        <w:b/>
        <w:color w:val="A5A5A5" w:themeColor="accent3" w:themeShade="95" w:themeTint="FE"/>
      </w:rPr>
    </w:tblStylePr>
    <w:tblStylePr w:type="lastCol">
      <w:rPr>
        <w:b/>
        <w:color w:val="A5A5A5" w:themeColor="accent3" w:themeShade="95" w:themeTint="FE"/>
      </w:rPr>
    </w:tblStylePr>
    <w:tblStylePr w:type="band1Vert"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Shade="95" w:themeTint="9A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Shade="95" w:themeTint="9A"/>
      </w:rPr>
    </w:tblStylePr>
    <w:tblStylePr w:type="firstCol">
      <w:rPr>
        <w:b/>
        <w:color w:val="FFD865" w:themeColor="accent4" w:themeShade="95" w:themeTint="9A"/>
      </w:rPr>
    </w:tblStylePr>
    <w:tblStylePr w:type="lastCol">
      <w:rPr>
        <w:b/>
        <w:color w:val="FFD865" w:themeColor="accent4" w:themeShade="95" w:themeTint="9A"/>
      </w:rPr>
    </w:tblStylePr>
    <w:tblStylePr w:type="band1Vert"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FFD865" w:themeColor="accent4" w:themeShade="95" w:themeTint="9A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2Horz">
      <w:rPr>
        <w:rFonts w:ascii="Arial" w:hAnsi="Arial"/>
        <w:color w:val="FFD865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Color="accent5" w:themeTint="34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Color="accent5" w:themeTint="34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A0B7E1" w:themeColor="accent1" w:themeShade="95" w:themeTint="80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Shade="95" w:themeTint="80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Color="accent1" w:themeTint="34" w:themeFill="accent1" w:themeFillTint="34"/>
      </w:tcPr>
    </w:tblStylePr>
    <w:tblStylePr w:type="band1Horz">
      <w:rPr>
        <w:rFonts w:ascii="Arial" w:hAnsi="Arial"/>
        <w:color w:val="A0B7E1" w:themeColor="accent1" w:themeShade="95" w:themeTint="80"/>
        <w:sz w:val="22"/>
      </w:rPr>
      <w:tblPr/>
      <w:tcPr>
        <w:shd w:val="clear" w:color="D8E2F3" w:fill="D8E2F3" w:themeColor="accent1" w:themeTint="34" w:themeFill="accent1" w:themeFillTint="34"/>
      </w:tcPr>
    </w:tblStylePr>
    <w:tblStylePr w:type="band2Horz">
      <w:rPr>
        <w:rFonts w:ascii="Arial" w:hAnsi="Arial"/>
        <w:color w:val="A0B7E1" w:themeColor="accent1" w:themeShade="95" w:themeTint="80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F4B184" w:themeColor="accent2" w:themeShade="95" w:themeTint="97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F4B184" w:themeColor="accent2" w:themeShade="95" w:themeTint="97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2Horz">
      <w:rPr>
        <w:rFonts w:ascii="Arial" w:hAnsi="Arial"/>
        <w:color w:val="F4B184" w:themeColor="accent2" w:themeShade="95" w:themeTint="97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A5A5A5" w:themeColor="accent3" w:themeShade="95" w:themeTint="FE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Shade="95" w:themeTint="FE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FFD865" w:themeColor="accent4" w:themeShade="95" w:themeTint="9A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FFD865" w:themeColor="accent4" w:themeShade="95" w:themeTint="9A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2Horz">
      <w:rPr>
        <w:rFonts w:ascii="Arial" w:hAnsi="Arial"/>
        <w:color w:val="FFD865" w:themeColor="accent4" w:themeShade="95" w:themeTint="9A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Color="accent5" w:themeTint="34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Color="accent5" w:themeTint="34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Color="accent1" w:themeTint="40" w:themeFill="accent1" w:themeFillTint="40"/>
      </w:tcPr>
    </w:tblStylePr>
    <w:tblStylePr w:type="band1Horz">
      <w:tblPr/>
      <w:tcPr>
        <w:shd w:val="clear" w:color="CFDBF0" w:fill="CFDBF0" w:themeColor="accent1" w:themeTint="40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Color="accent2" w:themeTint="40" w:themeFill="accent2" w:themeFillTint="40"/>
      </w:tcPr>
    </w:tblStylePr>
    <w:tblStylePr w:type="band1Horz">
      <w:tblPr/>
      <w:tcPr>
        <w:shd w:val="clear" w:color="FADECB" w:fill="FADECB" w:themeColor="accent2" w:themeTint="40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Color="accent3" w:themeTint="40" w:themeFill="accent3" w:themeFillTint="40"/>
      </w:tcPr>
    </w:tblStylePr>
    <w:tblStylePr w:type="band1Horz">
      <w:tblPr/>
      <w:tcPr>
        <w:shd w:val="clear" w:color="E8E8E8" w:fill="E8E8E8" w:themeColor="accent3" w:themeTint="40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Color="accent4" w:themeTint="40" w:themeFill="accent4" w:themeFillTint="40"/>
      </w:tcPr>
    </w:tblStylePr>
    <w:tblStylePr w:type="band1Horz">
      <w:tblPr/>
      <w:tcPr>
        <w:shd w:val="clear" w:color="FFEFBF" w:fill="FFEFBF" w:themeColor="accent4" w:themeTint="40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Color="accent5" w:themeTint="40" w:themeFill="accent5" w:themeFillTint="40"/>
      </w:tcPr>
    </w:tblStylePr>
    <w:tblStylePr w:type="band1Horz">
      <w:tblPr/>
      <w:tcPr>
        <w:shd w:val="clear" w:color="D5E5F4" w:fill="D5E5F4" w:themeColor="accent5" w:themeTint="40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Color="accent6" w:themeTint="40" w:themeFill="accent6" w:themeFillTint="40"/>
      </w:tcPr>
    </w:tblStylePr>
    <w:tblStylePr w:type="band1Horz">
      <w:tblPr/>
      <w:tcPr>
        <w:shd w:val="clear" w:color="DAEBCF" w:fill="DAEBCF" w:themeColor="accent6" w:themeTint="4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Color="accent1" w:themeTint="4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Color="accent1" w:themeTint="40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Color="accent2" w:themeTint="4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Color="accent2" w:themeTint="40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Color="accent3" w:themeTint="4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Color="accent3" w:themeTint="40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Color="accent4" w:themeTint="4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Color="accent4" w:themeTint="40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Color="accent5" w:themeTint="4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Color="accent5" w:themeTint="40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Color="accent6" w:themeTint="4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Color="accent6" w:themeTint="4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Color="accent3" w:themeTint="98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 w:themeColor="accent5" w:themeTint="9A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Color="accent6" w:themeTint="98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Color="accent1" w:themeTint="4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Color="accent1" w:themeTint="40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Color="accent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Color="accent2" w:themeTint="4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Color="accent2" w:themeTint="40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Color="accent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Color="accent3" w:themeTint="4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Color="accent3" w:themeTint="40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Color="accent4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Color="accent4" w:themeTint="4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Color="accent4" w:themeTint="40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Color="accent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Color="accent5" w:themeTint="4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Color="accent5" w:themeTint="40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Color="accent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Color="accent6" w:themeTint="4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Color="accent6" w:themeTint="4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Color="text1" w:themeTint="80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fill="4472C4" w:themeColor="accent1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Color="accent1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Color="accent1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Color="accent1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Color="accent1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Color="accent2" w:themeTint="97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Color="accent2" w:themeTint="97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Color="accent2" w:themeTint="97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Color="accent2" w:themeTint="97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Color="accent2" w:themeTint="97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Color="accent3" w:themeTint="98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Color="accent3" w:themeTint="98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Color="accent3" w:themeTint="98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Color="accent3" w:themeTint="98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Color="accent3" w:themeTint="98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Color="accent4" w:themeTint="9A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Color="accent4" w:themeTint="9A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Color="accent4" w:themeTint="9A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Color="accent4" w:themeTint="9A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Color="accent4" w:themeTint="9A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fill="9BC2E5" w:themeColor="accent5" w:themeTint="9A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fill="9BC2E5" w:themeColor="accent5" w:themeTint="9A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Color="accent5" w:themeTint="9A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Color="accent5" w:themeTint="9A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Color="accent5" w:themeTint="9A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Color="accent6" w:themeTint="98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Color="accent6" w:themeTint="98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Color="accent6" w:themeTint="98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Color="accent6" w:themeTint="98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Color="accent6" w:themeTint="98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Color="accent1" w:themeTint="4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Color="accent1" w:themeTint="4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Shade="95" w:themeTint="97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Shade="95" w:themeTint="97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Shade="95" w:themeTint="97"/>
      </w:rPr>
    </w:tblStylePr>
    <w:tblStylePr w:type="lastCol">
      <w:rPr>
        <w:b/>
        <w:color w:val="F4B184" w:themeColor="accent2" w:themeShade="95" w:themeTint="97"/>
      </w:rPr>
    </w:tblStylePr>
    <w:tblStylePr w:type="band1Vert">
      <w:tblPr/>
      <w:tcPr>
        <w:shd w:val="clear" w:color="FADECB" w:fill="FADECB" w:themeColor="accent2" w:themeTint="40" w:themeFill="accent2" w:themeFillTint="40"/>
      </w:tcPr>
    </w:tblStylePr>
    <w:tblStylePr w:type="band1Horz">
      <w:rPr>
        <w:rFonts w:ascii="Arial" w:hAnsi="Arial"/>
        <w:color w:val="F4B184" w:themeColor="accent2" w:themeShade="95" w:themeTint="97"/>
        <w:sz w:val="22"/>
      </w:rPr>
      <w:tblPr/>
      <w:tcPr>
        <w:shd w:val="clear" w:color="FADECB" w:fill="FADECB" w:themeColor="accent2" w:themeTint="40" w:themeFill="accent2" w:themeFillTint="40"/>
      </w:tcPr>
    </w:tblStylePr>
    <w:tblStylePr w:type="band2Horz">
      <w:rPr>
        <w:rFonts w:ascii="Arial" w:hAnsi="Arial"/>
        <w:color w:val="F4B184" w:themeColor="accent2" w:themeShade="95" w:themeTint="97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Shade="95" w:themeTint="98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Shade="95" w:themeTint="98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Shade="95" w:themeTint="98"/>
      </w:rPr>
    </w:tblStylePr>
    <w:tblStylePr w:type="lastCol">
      <w:rPr>
        <w:b/>
        <w:color w:val="C9C9C9" w:themeColor="accent3" w:themeShade="95" w:themeTint="98"/>
      </w:rPr>
    </w:tblStylePr>
    <w:tblStylePr w:type="band1Vert">
      <w:tblPr/>
      <w:tcPr>
        <w:shd w:val="clear" w:color="E8E8E8" w:fill="E8E8E8" w:themeColor="accent3" w:themeTint="40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blPr/>
      <w:tcPr>
        <w:shd w:val="clear" w:color="E8E8E8" w:fill="E8E8E8" w:themeColor="accent3" w:themeTint="40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Shade="95" w:themeTint="9A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Shade="95" w:themeTint="9A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Shade="95" w:themeTint="9A"/>
      </w:rPr>
    </w:tblStylePr>
    <w:tblStylePr w:type="lastCol">
      <w:rPr>
        <w:b/>
        <w:color w:val="FFD865" w:themeColor="accent4" w:themeShade="95" w:themeTint="9A"/>
      </w:rPr>
    </w:tblStylePr>
    <w:tblStylePr w:type="band1Vert">
      <w:tblPr/>
      <w:tcPr>
        <w:shd w:val="clear" w:color="FFEFBF" w:fill="FFEFBF" w:themeColor="accent4" w:themeTint="40" w:themeFill="accent4" w:themeFillTint="40"/>
      </w:tcPr>
    </w:tblStylePr>
    <w:tblStylePr w:type="band1Horz">
      <w:rPr>
        <w:rFonts w:ascii="Arial" w:hAnsi="Arial"/>
        <w:color w:val="FFD865" w:themeColor="accent4" w:themeShade="95" w:themeTint="9A"/>
        <w:sz w:val="22"/>
      </w:rPr>
      <w:tblPr/>
      <w:tcPr>
        <w:shd w:val="clear" w:color="FFEFBF" w:fill="FFEFBF" w:themeColor="accent4" w:themeTint="40" w:themeFill="accent4" w:themeFillTint="40"/>
      </w:tcPr>
    </w:tblStylePr>
    <w:tblStylePr w:type="band2Horz">
      <w:rPr>
        <w:rFonts w:ascii="Arial" w:hAnsi="Arial"/>
        <w:color w:val="FFD865" w:themeColor="accent4" w:themeShade="95" w:themeTint="9A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Shade="95" w:themeTint="9A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Shade="95" w:themeTint="9A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Shade="95" w:themeTint="9A"/>
      </w:rPr>
    </w:tblStylePr>
    <w:tblStylePr w:type="lastCol">
      <w:rPr>
        <w:b/>
        <w:color w:val="9BC2E5" w:themeColor="accent5" w:themeShade="95" w:themeTint="9A"/>
      </w:rPr>
    </w:tblStylePr>
    <w:tblStylePr w:type="band1Vert">
      <w:tblPr/>
      <w:tcPr>
        <w:shd w:val="clear" w:color="D5E5F4" w:fill="D5E5F4" w:themeColor="accent5" w:themeTint="40" w:themeFill="accent5" w:themeFillTint="40"/>
      </w:tcPr>
    </w:tblStylePr>
    <w:tblStylePr w:type="band1Horz">
      <w:rPr>
        <w:rFonts w:ascii="Arial" w:hAnsi="Arial"/>
        <w:color w:val="9BC2E5" w:themeColor="accent5" w:themeShade="95" w:themeTint="9A"/>
        <w:sz w:val="22"/>
      </w:rPr>
      <w:tblPr/>
      <w:tcPr>
        <w:shd w:val="clear" w:color="D5E5F4" w:fill="D5E5F4" w:themeColor="accent5" w:themeTint="40" w:themeFill="accent5" w:themeFillTint="40"/>
      </w:tcPr>
    </w:tblStylePr>
    <w:tblStylePr w:type="band2Horz">
      <w:rPr>
        <w:rFonts w:ascii="Arial" w:hAnsi="Arial"/>
        <w:color w:val="9BC2E5" w:themeColor="accent5" w:themeShade="95" w:themeTint="9A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Shade="95" w:themeTint="98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Shade="95" w:themeTint="98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Shade="95" w:themeTint="98"/>
      </w:rPr>
    </w:tblStylePr>
    <w:tblStylePr w:type="lastCol">
      <w:rPr>
        <w:b/>
        <w:color w:val="A9D08E" w:themeColor="accent6" w:themeShade="95" w:themeTint="98"/>
      </w:rPr>
    </w:tblStylePr>
    <w:tblStylePr w:type="band1Vert">
      <w:tblPr/>
      <w:tcPr>
        <w:shd w:val="clear" w:color="DAEBCF" w:fill="DAEBCF" w:themeColor="accent6" w:themeTint="40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blPr/>
      <w:tcPr>
        <w:shd w:val="clear" w:color="DAEBCF" w:fill="DAEBCF" w:themeColor="accent6" w:themeTint="40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Color="accent1" w:themeTint="4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Color="accent1" w:themeTint="4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Color="accent2" w:themeTint="40" w:themeFill="accent2" w:themeFillTint="40"/>
      </w:tcPr>
    </w:tblStylePr>
    <w:tblStylePr w:type="band1Horz">
      <w:rPr>
        <w:rFonts w:ascii="Arial" w:hAnsi="Arial"/>
        <w:color w:val="F4B184" w:themeColor="accent2" w:themeShade="95" w:themeTint="97"/>
        <w:sz w:val="22"/>
      </w:rPr>
      <w:tblPr/>
      <w:tcPr>
        <w:shd w:val="clear" w:color="FADECB" w:fill="FADECB" w:themeColor="accent2" w:themeTint="40" w:themeFill="accent2" w:themeFillTint="40"/>
      </w:tcPr>
    </w:tblStylePr>
    <w:tblStylePr w:type="band2Horz">
      <w:rPr>
        <w:rFonts w:ascii="Arial" w:hAnsi="Arial"/>
        <w:color w:val="F4B184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C9C9C9" w:themeColor="accent3" w:themeShade="95" w:themeTint="98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Shade="95" w:themeTint="98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Color="accent3" w:themeTint="40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blPr/>
      <w:tcPr>
        <w:shd w:val="clear" w:color="E8E8E8" w:fill="E8E8E8" w:themeColor="accent3" w:themeTint="40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Color="accent4" w:themeTint="40" w:themeFill="accent4" w:themeFillTint="40"/>
      </w:tcPr>
    </w:tblStylePr>
    <w:tblStylePr w:type="band1Horz">
      <w:rPr>
        <w:rFonts w:ascii="Arial" w:hAnsi="Arial"/>
        <w:color w:val="FFD865" w:themeColor="accent4" w:themeShade="95" w:themeTint="9A"/>
        <w:sz w:val="22"/>
      </w:rPr>
      <w:tblPr/>
      <w:tcPr>
        <w:shd w:val="clear" w:color="FFEFBF" w:fill="FFEFBF" w:themeColor="accent4" w:themeTint="40" w:themeFill="accent4" w:themeFillTint="40"/>
      </w:tcPr>
    </w:tblStylePr>
    <w:tblStylePr w:type="band2Horz">
      <w:rPr>
        <w:rFonts w:ascii="Arial" w:hAnsi="Arial"/>
        <w:color w:val="FFD865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9BC2E5" w:themeColor="accent5" w:themeShade="95" w:themeTint="9A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Shade="95" w:themeTint="9A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Color="accent5" w:themeTint="40" w:themeFill="accent5" w:themeFillTint="40"/>
      </w:tcPr>
    </w:tblStylePr>
    <w:tblStylePr w:type="band1Horz">
      <w:rPr>
        <w:rFonts w:ascii="Arial" w:hAnsi="Arial"/>
        <w:color w:val="9BC2E5" w:themeColor="accent5" w:themeShade="95" w:themeTint="9A"/>
        <w:sz w:val="22"/>
      </w:rPr>
      <w:tblPr/>
      <w:tcPr>
        <w:shd w:val="clear" w:color="D5E5F4" w:fill="D5E5F4" w:themeColor="accent5" w:themeTint="40" w:themeFill="accent5" w:themeFillTint="40"/>
      </w:tcPr>
    </w:tblStylePr>
    <w:tblStylePr w:type="band2Horz">
      <w:rPr>
        <w:rFonts w:ascii="Arial" w:hAnsi="Arial"/>
        <w:color w:val="9BC2E5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A9D08E" w:themeColor="accent6" w:themeShade="95" w:themeTint="98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Shade="95" w:themeTint="98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Color="accent6" w:themeTint="40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blPr/>
      <w:tcPr>
        <w:shd w:val="clear" w:color="DAEBCF" w:fill="DAEBCF" w:themeColor="accent6" w:themeTint="40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Color="accent1" w:themeTint="50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Color="accent1" w:themeTint="50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a5"/>
    <w:uiPriority w:val="99"/>
    <w:semiHidden/>
    <w:unhideWhenUsed/>
    <w:pPr>
      <w:spacing w:after="40"/>
    </w:pPr>
    <w:rPr>
      <w:sz w:val="18"/>
    </w:rPr>
  </w:style>
  <w:style w:type="character" w:customStyle="1" w:styleId="a5">
    <w:name w:val="Текст сноски Знак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a6"/>
    <w:uiPriority w:val="99"/>
    <w:semiHidden/>
    <w:unhideWhenUsed/>
    <w:rPr>
      <w:sz w:val="20"/>
    </w:rPr>
  </w:style>
  <w:style w:type="character" w:customStyle="1" w:styleId="a6">
    <w:name w:val="Текст концевой сноски Знак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CommentText">
    <w:name w:val="annotation text"/>
    <w:basedOn w:val="Normal"/>
    <w:link w:val="a7"/>
    <w:uiPriority w:val="99"/>
    <w:semiHidden/>
    <w:unhideWhenUsed/>
    <w:rPr>
      <w:sz w:val="20"/>
      <w:szCs w:val="20"/>
    </w:rPr>
  </w:style>
  <w:style w:type="character" w:customStyle="1" w:styleId="a7">
    <w:name w:val="Текст примечания Знак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a8"/>
    <w:uiPriority w:val="99"/>
    <w:semiHidden/>
    <w:unhideWhenUsed/>
    <w:rsid w:val="00BA2D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DefaultParagraphFont"/>
    <w:link w:val="BalloonText"/>
    <w:uiPriority w:val="99"/>
    <w:semiHidden/>
    <w:rsid w:val="00BA2D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Лаврентьева Ирина Борисовна</dc:creator>
  <cp:lastModifiedBy>Лаврентьева Ирина Борисовна</cp:lastModifiedBy>
  <cp:revision>2</cp:revision>
  <dcterms:created xsi:type="dcterms:W3CDTF">2026-06-08T03:46:00Z</dcterms:created>
  <dcterms:modified xsi:type="dcterms:W3CDTF">2026-06-08T03:46:00Z</dcterms:modified>
</cp:coreProperties>
</file>